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ag"/>
      </w:pPr>
      <w:r>
        <w:t>CAHIER DE PROCÉDURES · VERSION 0.1</w:t>
      </w:r>
    </w:p>
    <w:p>
      <w:pPr>
        <w:pStyle w:val="Title"/>
        <w:spacing w:after="80"/>
      </w:pPr>
      <w:r>
        <w:t>Projet Julie — du premier contact au suivi</w:t>
      </w:r>
    </w:p>
    <w:p>
      <w:pPr>
        <w:pStyle w:val="Subtitle"/>
      </w:pPr>
      <w:r>
        <w:t>Méthode de travail à compléter demain avec les formulaires, captures d’écran et exemples de Julie.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513873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PILOTE LOCAL — AUCUN DOSSIER PATIENT IDENTIFIABLE</w:t>
            </w:r>
          </w:p>
        </w:tc>
      </w:tr>
    </w:tbl>
    <w:p>
      <w:pPr>
        <w:pStyle w:val="Heading1"/>
      </w:pPr>
      <w:r>
        <w:t>Carte du processus cible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Étape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Entrée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Sortie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Validation</w:t>
            </w:r>
          </w:p>
        </w:tc>
      </w:tr>
      <w:tr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1. Accueil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Demande et consentement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Créer CAS-ID; définir le contexte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Dossier de travail ouvert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Julie</w:t>
            </w:r>
          </w:p>
        </w:tc>
      </w:tr>
      <w:tr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2. Collecte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Audio, formulaire, documents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Conserver l’original; horodater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Corpus inventorié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Julie</w:t>
            </w:r>
          </w:p>
        </w:tc>
      </w:tr>
      <w:tr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3. Structuration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Transcription validée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Classer faits, hypothèses, manques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Données structurées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Julie</w:t>
            </w:r>
          </w:p>
        </w:tc>
      </w:tr>
      <w:tr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4. Recherche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Questions précises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Chercher; sourcer; documenter limites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Fiche de preuves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Julie</w:t>
            </w:r>
          </w:p>
        </w:tc>
      </w:tr>
      <w:tr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5. Décision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Données + preuves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Raisonnement et choix partagés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Plan validé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Julie</w:t>
            </w:r>
          </w:p>
        </w:tc>
      </w:tr>
      <w:tr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6. Remise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Version approuvée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Générer version patient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Rapport transmis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Julie</w:t>
            </w:r>
          </w:p>
        </w:tc>
      </w:tr>
      <w:tr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7. Suivi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Indicateurs et retours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Réévaluer; versionner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Historique complet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Julie</w:t>
            </w:r>
          </w:p>
        </w:tc>
      </w:tr>
    </w:tbl>
    <w:p/>
    <w:p>
      <w:pPr>
        <w:pStyle w:val="Heading1"/>
      </w:pPr>
      <w:r>
        <w:t>1. Ouverture du dossier</w:t>
      </w:r>
    </w:p>
    <w:p>
      <w:pPr>
        <w:pStyle w:val="ListBullet"/>
      </w:pPr>
      <w:r>
        <w:t>Attribuer un identifiant unique dépersonnalisé.</w:t>
      </w:r>
    </w:p>
    <w:p>
      <w:pPr>
        <w:pStyle w:val="ListBullet"/>
      </w:pPr>
      <w:r>
        <w:t>Distinguer contenu clinique, administratif et personnel.</w:t>
      </w:r>
    </w:p>
    <w:p>
      <w:pPr>
        <w:pStyle w:val="ListBullet"/>
      </w:pPr>
      <w:r>
        <w:t>Documenter consentement, accès autorisés et droit de refus.</w:t>
      </w:r>
    </w:p>
    <w:p>
      <w:pPr>
        <w:pStyle w:val="Heading1"/>
      </w:pPr>
      <w:r>
        <w:t>2. Réception d’un audio ou document</w:t>
      </w:r>
    </w:p>
    <w:p>
      <w:pPr>
        <w:pStyle w:val="ListBullet"/>
      </w:pPr>
      <w:r>
        <w:t>Vérifier propriétaire, destination et présence d’identifiants.</w:t>
      </w:r>
    </w:p>
    <w:p>
      <w:pPr>
        <w:pStyle w:val="ListBullet"/>
      </w:pPr>
      <w:r>
        <w:t>Conserver l’original intact et créer une copie de travail.</w:t>
      </w:r>
    </w:p>
    <w:p>
      <w:pPr>
        <w:pStyle w:val="ListBullet"/>
      </w:pPr>
      <w:r>
        <w:t>Horodater import, transfert, téléchargement et suppression.</w:t>
      </w:r>
    </w:p>
    <w:p>
      <w:pPr>
        <w:pStyle w:val="ListBullet"/>
      </w:pPr>
      <w:r>
        <w:t>Transcrire; signaler tout passage inaudible; faire valider par Julie.</w:t>
      </w:r>
    </w:p>
    <w:p>
      <w:pPr>
        <w:pStyle w:val="Heading1"/>
      </w:pPr>
      <w:r>
        <w:t>3. Structuration</w:t>
      </w:r>
    </w:p>
    <w:p>
      <w:pPr>
        <w:pStyle w:val="ListBullet"/>
      </w:pPr>
      <w:r>
        <w:t>Classer : objectif, chronologie, antécédent, médicament, résultat, observation, hypothèse, question, décision, action, source, suivi.</w:t>
      </w:r>
    </w:p>
    <w:p>
      <w:pPr>
        <w:pStyle w:val="ListBullet"/>
      </w:pPr>
      <w:r>
        <w:t>Ne jamais compléter automatiquement une donnée ambiguë.</w:t>
      </w:r>
    </w:p>
    <w:p>
      <w:pPr>
        <w:pStyle w:val="Heading1"/>
      </w:pPr>
      <w:r>
        <w:t>4. Recherche et sourçage</w:t>
      </w:r>
    </w:p>
    <w:p>
      <w:pPr>
        <w:pStyle w:val="ListBullet"/>
      </w:pPr>
      <w:r>
        <w:t>Formuler une question clinique précise.</w:t>
      </w:r>
    </w:p>
    <w:p>
      <w:pPr>
        <w:pStyle w:val="ListBullet"/>
      </w:pPr>
      <w:r>
        <w:t>Privilégier normes officielles, sociétés savantes, revues systématiques puis études primaires.</w:t>
      </w:r>
    </w:p>
    <w:p>
      <w:pPr>
        <w:pStyle w:val="ListBullet"/>
      </w:pPr>
      <w:r>
        <w:t>Noter stratégie, référence, population, niveau de preuve, pertinence et limites.</w:t>
      </w:r>
    </w:p>
    <w:p>
      <w:pPr>
        <w:pStyle w:val="ListBullet"/>
      </w:pPr>
      <w:r>
        <w:t>Retrouver et valider toute référence produite par une IA.</w:t>
      </w:r>
    </w:p>
    <w:p>
      <w:pPr>
        <w:pStyle w:val="ListBullet"/>
      </w:pPr>
      <w:r>
        <w:t>Déclencher un signal rouge lorsque la preuve est insuffisante, contradictoire ou que le statut professionnel est incertain; rechercher alors une option conforme ou une clarification officielle.</w:t>
      </w:r>
    </w:p>
    <w:p>
      <w:pPr>
        <w:pStyle w:val="Heading1"/>
      </w:pPr>
      <w:r>
        <w:t>5. Production du rapport</w:t>
      </w:r>
    </w:p>
    <w:p>
      <w:pPr>
        <w:pStyle w:val="ListBullet"/>
      </w:pPr>
      <w:r>
        <w:t>Générer un brouillon seulement.</w:t>
      </w:r>
    </w:p>
    <w:p>
      <w:pPr>
        <w:pStyle w:val="ListBullet"/>
      </w:pPr>
      <w:r>
        <w:t>Séparer faits, hypothèses, incertitudes et décisions.</w:t>
      </w:r>
    </w:p>
    <w:p>
      <w:pPr>
        <w:pStyle w:val="ListBullet"/>
      </w:pPr>
      <w:r>
        <w:t>Vérifier dates, doses, médicaments, allergies et résultats.</w:t>
      </w:r>
    </w:p>
    <w:p>
      <w:pPr>
        <w:pStyle w:val="ListBullet"/>
      </w:pPr>
      <w:r>
        <w:t>Créer une version patient distincte des notes internes.</w:t>
      </w:r>
    </w:p>
    <w:p>
      <w:pPr>
        <w:pStyle w:val="ListBullet"/>
      </w:pPr>
      <w:r>
        <w:t>Verrouiller la version approuvée et consigner la remise.</w:t>
      </w:r>
    </w:p>
    <w:p>
      <w:pPr>
        <w:pStyle w:val="Heading1"/>
      </w:pPr>
      <w:r>
        <w:t>6. Questions au Collège</w:t>
      </w:r>
    </w:p>
    <w:p>
      <w:pPr>
        <w:pStyle w:val="ListBullet"/>
      </w:pPr>
      <w:r>
        <w:t>Ouvrir un registre séparé : question, contexte, règle consultée, interprétation provisoire, conséquence, réponse officielle, date et décision.</w:t>
      </w:r>
    </w:p>
    <w:p>
      <w:pPr>
        <w:pStyle w:val="Heading1"/>
      </w:pPr>
      <w:r>
        <w:t>7. Correction et suppression</w:t>
      </w:r>
    </w:p>
    <w:p>
      <w:pPr>
        <w:pStyle w:val="ListBullet"/>
      </w:pPr>
      <w:r>
        <w:t>Demander une confirmation explicite.</w:t>
      </w:r>
    </w:p>
    <w:p>
      <w:pPr>
        <w:pStyle w:val="ListBullet"/>
      </w:pPr>
      <w:r>
        <w:t>Indiquer quelles copies indépendantes demeureront.</w:t>
      </w:r>
    </w:p>
    <w:p>
      <w:pPr>
        <w:pStyle w:val="ListBullet"/>
      </w:pPr>
      <w:r>
        <w:t>Conserver original, motif, date et auteur de la correction lorsque requis.</w:t>
      </w:r>
    </w:p>
    <w:p>
      <w:pPr>
        <w:pStyle w:val="Heading1"/>
      </w:pPr>
      <w:r>
        <w:t>Champs prioritaires du pilote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Objet</w:t>
            </w:r>
          </w:p>
        </w:tc>
        <w:tc>
          <w:tcPr>
            <w:tcW w:type="dxa" w:w="5112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Champs minimums</w:t>
            </w:r>
          </w:p>
        </w:tc>
      </w:tr>
      <w:tr>
        <w:tc>
          <w:tcPr>
            <w:tcW w:type="dxa" w:w="5112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Audio</w:t>
            </w:r>
          </w:p>
        </w:tc>
        <w:tc>
          <w:tcPr>
            <w:tcW w:type="dxa" w:w="5112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Titre humain; auteur; date; durée; propriétaire; dossier; état de transcription; partage</w:t>
            </w:r>
          </w:p>
        </w:tc>
      </w:tr>
      <w:tr>
        <w:tc>
          <w:tcPr>
            <w:tcW w:type="dxa" w:w="51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Information clinique</w:t>
            </w:r>
          </w:p>
        </w:tc>
        <w:tc>
          <w:tcPr>
            <w:tcW w:type="dxa" w:w="51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Énoncé; source; date; statut; niveau de confiance; validation</w:t>
            </w:r>
          </w:p>
        </w:tc>
      </w:tr>
      <w:tr>
        <w:tc>
          <w:tcPr>
            <w:tcW w:type="dxa" w:w="5112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Source</w:t>
            </w:r>
          </w:p>
        </w:tc>
        <w:tc>
          <w:tcPr>
            <w:tcW w:type="dxa" w:w="5112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Titre; organisme/auteurs; lien/DOI; version; population; portée; limites</w:t>
            </w:r>
          </w:p>
        </w:tc>
      </w:tr>
      <w:tr>
        <w:tc>
          <w:tcPr>
            <w:tcW w:type="dxa" w:w="51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Action</w:t>
            </w:r>
          </w:p>
        </w:tc>
        <w:tc>
          <w:tcPr>
            <w:tcW w:type="dxa" w:w="51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Responsable; échéance; état; justification</w:t>
            </w:r>
          </w:p>
        </w:tc>
      </w:tr>
      <w:tr>
        <w:tc>
          <w:tcPr>
            <w:tcW w:type="dxa" w:w="5112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Rapport</w:t>
            </w:r>
          </w:p>
        </w:tc>
        <w:tc>
          <w:tcPr>
            <w:tcW w:type="dxa" w:w="5112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Cas-ID; version; statut; validateur; date de remise</w:t>
            </w:r>
          </w:p>
        </w:tc>
      </w:tr>
    </w:tbl>
    <w:p/>
    <w:p>
      <w:pPr>
        <w:pStyle w:val="Heading1"/>
      </w:pPr>
      <w:r>
        <w:t>Garde-fous UX à intégrer</w:t>
      </w:r>
    </w:p>
    <w:p>
      <w:pPr>
        <w:pStyle w:val="ListBullet"/>
      </w:pPr>
      <w:r>
        <w:t>Sélecteur clair Professionnel / Personnel; aucun mélange des contenus.</w:t>
      </w:r>
    </w:p>
    <w:p>
      <w:pPr>
        <w:pStyle w:val="ListBullet"/>
      </w:pPr>
      <w:r>
        <w:t>Parcours principal : Enregistrer une note, Importer depuis Fichiers, Voir le rapport.</w:t>
      </w:r>
    </w:p>
    <w:p>
      <w:pPr>
        <w:pStyle w:val="ListBullet"/>
      </w:pPr>
      <w:r>
        <w:t>Cartes audio avec titre humain, date, durée, Lire/Pause, Télécharger et menu secondaire.</w:t>
      </w:r>
    </w:p>
    <w:p>
      <w:pPr>
        <w:pStyle w:val="ListBullet"/>
      </w:pPr>
      <w:r>
        <w:t>Messages de succès/erreur près de l’action et confirmation personnalisée avant suppression.</w:t>
      </w:r>
    </w:p>
    <w:p>
      <w:pPr>
        <w:pStyle w:val="ListBullet"/>
      </w:pPr>
      <w:r>
        <w:t>Boutons d’au moins 48 px; texte courant de 16 px; aucune commande décorative non fonctionnelle.</w:t>
      </w:r>
    </w:p>
    <w:p>
      <w:pPr>
        <w:pStyle w:val="ListBullet"/>
      </w:pPr>
      <w:r>
        <w:t>Bandeau persistant : « Pilote local — aucun dossier patient identifiable ».</w:t>
      </w:r>
    </w:p>
    <w:p>
      <w:pPr>
        <w:pStyle w:val="Heading1"/>
      </w:pPr>
      <w:r>
        <w:t>Checklist avant toute remise</w:t>
      </w:r>
    </w:p>
    <w:p>
      <w:pPr>
        <w:pStyle w:val="ListBullet"/>
      </w:pPr>
      <w:r>
        <w:t>Cas fictif ou correctement dépersonnalisé</w:t>
      </w:r>
    </w:p>
    <w:p>
      <w:pPr>
        <w:pStyle w:val="ListBullet"/>
      </w:pPr>
      <w:r>
        <w:t>Consentement et usage de l’IA documentés</w:t>
      </w:r>
    </w:p>
    <w:p>
      <w:pPr>
        <w:pStyle w:val="ListBullet"/>
      </w:pPr>
      <w:r>
        <w:t>Fichier original conservé; transcription vérifiée</w:t>
      </w:r>
    </w:p>
    <w:p>
      <w:pPr>
        <w:pStyle w:val="ListBullet"/>
      </w:pPr>
      <w:r>
        <w:t>Faits séparés des hypothèses; incertitudes visibles</w:t>
      </w:r>
    </w:p>
    <w:p>
      <w:pPr>
        <w:pStyle w:val="ListBullet"/>
      </w:pPr>
      <w:r>
        <w:t>Sources exactes et consultables; recommandations validées</w:t>
      </w:r>
    </w:p>
    <w:p>
      <w:pPr>
        <w:pStyle w:val="ListBullet"/>
      </w:pPr>
      <w:r>
        <w:t>Version patient distincte; historique et approbation complétés</w:t>
      </w:r>
    </w:p>
    <w:p>
      <w:pPr>
        <w:pStyle w:val="Heading1"/>
      </w:pPr>
      <w:r>
        <w:t>Références officielles à maintenir à jour</w:t>
      </w:r>
    </w:p>
    <w:p>
      <w:r>
        <w:rPr>
          <w:b/>
        </w:rPr>
        <w:t>Collège des médecins du Québec — Scribe IA et consentement</w:t>
        <w:br/>
      </w:r>
      <w:r>
        <w:rPr>
          <w:color w:val="248B85"/>
          <w:sz w:val="16"/>
        </w:rPr>
        <w:t>https://www.cmq.org/fr/actualites/scribe-ia-consentement</w:t>
      </w:r>
    </w:p>
    <w:p>
      <w:r>
        <w:rPr>
          <w:b/>
        </w:rPr>
        <w:t>CMQ — IA et soins humains</w:t>
        <w:br/>
      </w:r>
      <w:r>
        <w:rPr>
          <w:color w:val="248B85"/>
          <w:sz w:val="16"/>
        </w:rPr>
        <w:t>https://www.cmq.org/fr/informer-sante/infocmq/pratique-medicale/ia-soins-humains</w:t>
      </w:r>
    </w:p>
    <w:p>
      <w:r>
        <w:rPr>
          <w:b/>
        </w:rPr>
        <w:t>Règlement sur les dossiers cliniques, M-9, r. 20.3.1</w:t>
        <w:br/>
      </w:r>
      <w:r>
        <w:rPr>
          <w:color w:val="248B85"/>
          <w:sz w:val="16"/>
        </w:rPr>
        <w:t>https://www.legisquebec.gouv.qc.ca/fr/document/rc/M-9%2C%20r.%2020.3.1%20/</w:t>
      </w:r>
    </w:p>
    <w:p>
      <w:r>
        <w:rPr>
          <w:b/>
        </w:rPr>
        <w:t>Loi sur les renseignements de santé, R-22.1</w:t>
        <w:br/>
      </w:r>
      <w:r>
        <w:rPr>
          <w:color w:val="248B85"/>
          <w:sz w:val="16"/>
        </w:rPr>
        <w:t>https://www.legisquebec.gouv.qc.ca/fr/document/lc/R-22.1</w:t>
      </w:r>
    </w:p>
    <w:p>
      <w:r>
        <w:rPr>
          <w:b/>
        </w:rPr>
        <w:t>CAI — critères de validité du consentement</w:t>
        <w:br/>
      </w:r>
      <w:r>
        <w:rPr>
          <w:color w:val="248B85"/>
          <w:sz w:val="16"/>
        </w:rPr>
        <w:t>https://www.cai.gouv.qc.ca/uploads/pdfs/CAI_Criteres_Validite_Consentement.pdf</w:t>
      </w:r>
    </w:p>
    <w:p>
      <w:r>
        <w:t>Information générale, non un avis juridique. Vérifier les versions en vigueur avant tout déploiement réel.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Prototype dépersonnalisé · validation de Dre Julie Almasi obligatoire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ag"/>
    </w:pPr>
    <w:r>
      <w:t>ALMAJU  ·  PILOTE EÏA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C27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51387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D95F4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Georgia" w:hAnsi="Georgia"/>
      <w:b/>
      <w:color w:val="51387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g">
    <w:name w:val="Tag"/>
    <w:pPr>
      <w:spacing w:after="60"/>
    </w:pPr>
    <w:rPr>
      <w:rFonts w:ascii="Aptos" w:hAnsi="Aptos"/>
      <w:b/>
      <w:caps/>
      <w:color w:val="D95F45"/>
      <w:sz w:val="17"/>
    </w:rPr>
  </w:style>
  <w:style w:type="paragraph" w:customStyle="1" w:styleId="Small">
    <w:name w:val="Small"/>
    <w:pPr>
      <w:spacing w:after="60"/>
    </w:pPr>
    <w:rPr>
      <w:rFonts w:ascii="Aptos" w:hAnsi="Aptos"/>
      <w:b w:val="0"/>
      <w:caps w:val="0"/>
      <w:color w:val="6B637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