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ag"/>
      </w:pPr>
      <w:r>
        <w:t>PREMIÈRE ITÉRATION · 17 SEPTEMBRE 2026</w:t>
      </w:r>
    </w:p>
    <w:p>
      <w:pPr>
        <w:pStyle w:val="Title"/>
        <w:spacing w:after="80"/>
      </w:pPr>
      <w:r>
        <w:t>Rapport de synthèse et de suivi</w:t>
      </w:r>
    </w:p>
    <w:p>
      <w:pPr>
        <w:pStyle w:val="Subtitle"/>
      </w:pPr>
      <w:r>
        <w:t>Cadre de démonstration pour un cas entièrement fictif ou rigoureusement dépersonnalisé.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D95F45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BROUILLON — VALIDATION MÉDICALE OBLIGATOIRE AVANT TOUT USAGE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FFF8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513873"/>
                <w:sz w:val="15"/>
              </w:rPr>
              <w:t>PROFESSIONNELLE</w:t>
              <w:br/>
            </w:r>
            <w:r>
              <w:rPr>
                <w:sz w:val="21"/>
              </w:rPr>
              <w:t>Dre Julie Almasi</w:t>
            </w:r>
          </w:p>
        </w:tc>
        <w:tc>
          <w:tcPr>
            <w:tcW w:type="dxa" w:w="5112"/>
            <w:shd w:fill="FFF8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513873"/>
                <w:sz w:val="15"/>
              </w:rPr>
              <w:t>CAS</w:t>
              <w:br/>
            </w:r>
            <w:r>
              <w:rPr>
                <w:sz w:val="21"/>
              </w:rPr>
              <w:t>CAS-DEMO-001</w:t>
            </w:r>
          </w:p>
        </w:tc>
      </w:tr>
      <w:tr>
        <w:tc>
          <w:tcPr>
            <w:tcW w:type="dxa" w:w="5112"/>
            <w:shd w:fill="FFF8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513873"/>
                <w:sz w:val="15"/>
              </w:rPr>
              <w:t>VERSION</w:t>
              <w:br/>
            </w:r>
            <w:r>
              <w:rPr>
                <w:sz w:val="21"/>
              </w:rPr>
              <w:t>V0.1</w:t>
            </w:r>
          </w:p>
        </w:tc>
        <w:tc>
          <w:tcPr>
            <w:tcW w:type="dxa" w:w="5112"/>
            <w:shd w:fill="FFF8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513873"/>
                <w:sz w:val="15"/>
              </w:rPr>
              <w:t>STATUT</w:t>
              <w:br/>
            </w:r>
            <w:r>
              <w:rPr>
                <w:sz w:val="21"/>
              </w:rPr>
              <w:t>À compléter avec Julie</w:t>
            </w:r>
          </w:p>
        </w:tc>
      </w:tr>
      <w:tr>
        <w:tc>
          <w:tcPr>
            <w:tcW w:type="dxa" w:w="5112"/>
            <w:shd w:fill="FFF8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513873"/>
                <w:sz w:val="15"/>
              </w:rPr>
              <w:t>CONSENTEMENT</w:t>
              <w:br/>
            </w:r>
            <w:r>
              <w:rPr>
                <w:sz w:val="21"/>
              </w:rPr>
              <w:t>À documenter</w:t>
            </w:r>
          </w:p>
        </w:tc>
        <w:tc>
          <w:tcPr>
            <w:tcW w:type="dxa" w:w="5112"/>
            <w:shd w:fill="FFF8E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513873"/>
                <w:sz w:val="15"/>
              </w:rPr>
              <w:t>USAGE DE L’IA</w:t>
              <w:br/>
            </w:r>
            <w:r>
              <w:rPr>
                <w:sz w:val="21"/>
              </w:rPr>
              <w:t>Classement et aide rédactionnelle seulement</w:t>
            </w:r>
          </w:p>
        </w:tc>
      </w:tr>
    </w:tbl>
    <w:p/>
    <w:p>
      <w:pPr>
        <w:pStyle w:val="Heading1"/>
      </w:pPr>
      <w:r>
        <w:t>Ce que ce premier jet permet déjà</w:t>
      </w:r>
    </w:p>
    <w:p>
      <w:pPr>
        <w:pStyle w:val="ListBullet"/>
      </w:pPr>
      <w:r>
        <w:t>Conserver une trace claire de ce qui a été reçu, vérifié, interprété ou laissé en suspens.</w:t>
      </w:r>
    </w:p>
    <w:p>
      <w:pPr>
        <w:pStyle w:val="ListBullet"/>
      </w:pPr>
      <w:r>
        <w:t>Relier chaque hypothèse ou recommandation à une source consultable et à une validation humaine.</w:t>
      </w:r>
    </w:p>
    <w:p>
      <w:pPr>
        <w:pStyle w:val="ListBullet"/>
      </w:pPr>
      <w:r>
        <w:t>Produire deux sorties distinctes : notes internes de travail et résumé clair destiné au patient.</w:t>
      </w:r>
    </w:p>
    <w:p>
      <w:pPr>
        <w:pStyle w:val="Heading1"/>
      </w:pPr>
      <w:r>
        <w:t>1. Motif, attentes et priorités du patient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Champ</w:t>
            </w:r>
          </w:p>
        </w:tc>
        <w:tc>
          <w:tcPr>
            <w:tcW w:type="dxa" w:w="3408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Contenu à compléter</w:t>
            </w:r>
          </w:p>
        </w:tc>
        <w:tc>
          <w:tcPr>
            <w:tcW w:type="dxa" w:w="3408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Statut</w:t>
            </w:r>
          </w:p>
        </w:tc>
      </w:tr>
      <w:tr>
        <w:tc>
          <w:tcPr>
            <w:tcW w:type="dxa" w:w="3408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Motif principal</w:t>
            </w:r>
          </w:p>
        </w:tc>
        <w:tc>
          <w:tcPr>
            <w:tcW w:type="dxa" w:w="3408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À recueillir dans les mots du patient</w:t>
            </w:r>
          </w:p>
        </w:tc>
        <w:tc>
          <w:tcPr>
            <w:tcW w:type="dxa" w:w="3408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Information manquante</w:t>
            </w:r>
          </w:p>
        </w:tc>
      </w:tr>
      <w:tr>
        <w:tc>
          <w:tcPr>
            <w:tcW w:type="dxa" w:w="340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Résultat recherché</w:t>
            </w:r>
          </w:p>
        </w:tc>
        <w:tc>
          <w:tcPr>
            <w:tcW w:type="dxa" w:w="340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À clarifier avec le patient</w:t>
            </w:r>
          </w:p>
        </w:tc>
        <w:tc>
          <w:tcPr>
            <w:tcW w:type="dxa" w:w="340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Information manquante</w:t>
            </w:r>
          </w:p>
        </w:tc>
      </w:tr>
      <w:tr>
        <w:tc>
          <w:tcPr>
            <w:tcW w:type="dxa" w:w="3408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Priorités et préférences</w:t>
            </w:r>
          </w:p>
        </w:tc>
        <w:tc>
          <w:tcPr>
            <w:tcW w:type="dxa" w:w="3408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À documenter</w:t>
            </w:r>
          </w:p>
        </w:tc>
        <w:tc>
          <w:tcPr>
            <w:tcW w:type="dxa" w:w="3408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Information manquante</w:t>
            </w:r>
          </w:p>
        </w:tc>
      </w:tr>
    </w:tbl>
    <w:p/>
    <w:p>
      <w:pPr>
        <w:pStyle w:val="Heading1"/>
      </w:pPr>
      <w:r>
        <w:t>2. Données recueillies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Information</w:t>
            </w:r>
          </w:p>
        </w:tc>
        <w:tc>
          <w:tcPr>
            <w:tcW w:type="dxa" w:w="2556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Source / date</w:t>
            </w:r>
          </w:p>
        </w:tc>
        <w:tc>
          <w:tcPr>
            <w:tcW w:type="dxa" w:w="2556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Qualification</w:t>
            </w:r>
          </w:p>
        </w:tc>
        <w:tc>
          <w:tcPr>
            <w:tcW w:type="dxa" w:w="2556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Validation</w:t>
            </w:r>
          </w:p>
        </w:tc>
      </w:tr>
      <w:tr>
        <w:tc>
          <w:tcPr>
            <w:tcW w:type="dxa" w:w="2556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Exemple de donnée rapportée</w:t>
            </w:r>
          </w:p>
        </w:tc>
        <w:tc>
          <w:tcPr>
            <w:tcW w:type="dxa" w:w="2556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Patient · date à inscrire</w:t>
            </w:r>
          </w:p>
        </w:tc>
        <w:tc>
          <w:tcPr>
            <w:tcW w:type="dxa" w:w="2556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Fait rapporté</w:t>
            </w:r>
          </w:p>
        </w:tc>
        <w:tc>
          <w:tcPr>
            <w:tcW w:type="dxa" w:w="2556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Dre Almasi</w:t>
            </w:r>
          </w:p>
        </w:tc>
      </w:tr>
      <w:tr>
        <w:tc>
          <w:tcPr>
            <w:tcW w:type="dxa" w:w="25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Exemple de résultat</w:t>
            </w:r>
          </w:p>
        </w:tc>
        <w:tc>
          <w:tcPr>
            <w:tcW w:type="dxa" w:w="25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Document original · date</w:t>
            </w:r>
          </w:p>
        </w:tc>
        <w:tc>
          <w:tcPr>
            <w:tcW w:type="dxa" w:w="25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Fait vérifié</w:t>
            </w:r>
          </w:p>
        </w:tc>
        <w:tc>
          <w:tcPr>
            <w:tcW w:type="dxa" w:w="25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Dre Almasi</w:t>
            </w:r>
          </w:p>
        </w:tc>
      </w:tr>
      <w:tr>
        <w:tc>
          <w:tcPr>
            <w:tcW w:type="dxa" w:w="2556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Interprétation possible</w:t>
            </w:r>
          </w:p>
        </w:tc>
        <w:tc>
          <w:tcPr>
            <w:tcW w:type="dxa" w:w="2556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Analyse clinique</w:t>
            </w:r>
          </w:p>
        </w:tc>
        <w:tc>
          <w:tcPr>
            <w:tcW w:type="dxa" w:w="2556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Hypothèse</w:t>
            </w:r>
          </w:p>
        </w:tc>
        <w:tc>
          <w:tcPr>
            <w:tcW w:type="dxa" w:w="2556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En attente</w:t>
            </w:r>
          </w:p>
        </w:tc>
      </w:tr>
      <w:tr>
        <w:tc>
          <w:tcPr>
            <w:tcW w:type="dxa" w:w="25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Élément absent</w:t>
            </w:r>
          </w:p>
        </w:tc>
        <w:tc>
          <w:tcPr>
            <w:tcW w:type="dxa" w:w="25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25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Incertitude</w:t>
            </w:r>
          </w:p>
        </w:tc>
        <w:tc>
          <w:tcPr>
            <w:tcW w:type="dxa" w:w="25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À clarifier</w:t>
            </w:r>
          </w:p>
        </w:tc>
      </w:tr>
    </w:tbl>
    <w:p/>
    <w:p>
      <w:pPr>
        <w:pStyle w:val="Heading2"/>
      </w:pPr>
      <w:r>
        <w:t>Règle de rédaction</w:t>
      </w:r>
    </w:p>
    <w:p>
      <w:r>
        <w:t>Ne jamais transformer une corrélation, une intuition ou un résumé automatisé en fait médical. Les médicaments, doses, allergies, dates et résultats sont toujours revérifiés dans leur source originale.</w:t>
      </w:r>
    </w:p>
    <w:p>
      <w:pPr>
        <w:pStyle w:val="Heading1"/>
      </w:pPr>
      <w:r>
        <w:t>3. Histoire et contexte pertinents</w:t>
      </w:r>
    </w:p>
    <w:p>
      <w:pPr>
        <w:pStyle w:val="ListBullet"/>
      </w:pPr>
      <w:r>
        <w:t>Chronologie des symptômes et événements pertinents</w:t>
      </w:r>
    </w:p>
    <w:p>
      <w:pPr>
        <w:pStyle w:val="ListBullet"/>
      </w:pPr>
      <w:r>
        <w:t>Antécédents; médicaments, suppléments et allergies</w:t>
      </w:r>
    </w:p>
    <w:p>
      <w:pPr>
        <w:pStyle w:val="ListBullet"/>
      </w:pPr>
      <w:r>
        <w:t>Sommeil, alimentation, stress, activité et environnement</w:t>
      </w:r>
    </w:p>
    <w:p>
      <w:pPr>
        <w:pStyle w:val="ListBullet"/>
      </w:pPr>
      <w:r>
        <w:t>Examens, consultations et résultats antérieurs</w:t>
      </w:r>
    </w:p>
    <w:p>
      <w:pPr>
        <w:pStyle w:val="ListBullet"/>
      </w:pPr>
      <w:r>
        <w:t>Éléments explicitement exclus parce que non pertinents</w:t>
      </w:r>
    </w:p>
    <w:p>
      <w:pPr>
        <w:pStyle w:val="Heading1"/>
      </w:pPr>
      <w:r>
        <w:t>4. Questions cliniques à résoudre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Question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Pourquoi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Données disponibles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Manques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Décision de Julie</w:t>
            </w:r>
          </w:p>
        </w:tc>
      </w:tr>
      <w:tr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À formuler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Pertinence clinique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À lister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À demander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À explorer / retenir / écarter</w:t>
            </w:r>
          </w:p>
        </w:tc>
      </w:tr>
    </w:tbl>
    <w:p/>
    <w:p>
      <w:pPr>
        <w:pStyle w:val="Heading1"/>
      </w:pPr>
      <w:r>
        <w:t>5. Raisonnement clinique traçable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Hypothèse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Éléments favorables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Éléments défavorables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Incertitudes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Décision</w:t>
            </w:r>
          </w:p>
        </w:tc>
      </w:tr>
      <w:tr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Hypothèse A — à compléter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Validation requise</w:t>
            </w:r>
          </w:p>
        </w:tc>
      </w:tr>
    </w:tbl>
    <w:p/>
    <w:p>
      <w:pPr>
        <w:pStyle w:val="Heading1"/>
      </w:pPr>
      <w:r>
        <w:t>6. Recherche documentaire et sources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Source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Population / portée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Appui recherché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Limites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Validation</w:t>
            </w:r>
          </w:p>
        </w:tc>
      </w:tr>
      <w:tr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Guide ou norme officielle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À préciser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Décision ou recommandation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À documenter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Dre Almasi</w:t>
            </w:r>
          </w:p>
        </w:tc>
      </w:tr>
      <w:tr>
        <w:tc>
          <w:tcPr>
            <w:tcW w:type="dxa" w:w="204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Revue ou étude</w:t>
            </w:r>
          </w:p>
        </w:tc>
        <w:tc>
          <w:tcPr>
            <w:tcW w:type="dxa" w:w="204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À préciser</w:t>
            </w:r>
          </w:p>
        </w:tc>
        <w:tc>
          <w:tcPr>
            <w:tcW w:type="dxa" w:w="204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Question ciblée</w:t>
            </w:r>
          </w:p>
        </w:tc>
        <w:tc>
          <w:tcPr>
            <w:tcW w:type="dxa" w:w="204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À documenter</w:t>
            </w:r>
          </w:p>
        </w:tc>
        <w:tc>
          <w:tcPr>
            <w:tcW w:type="dxa" w:w="2045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Dre Almasi</w:t>
            </w:r>
          </w:p>
        </w:tc>
      </w:tr>
    </w:tbl>
    <w:p/>
    <w:p>
      <w:pPr>
        <w:pStyle w:val="Heading1"/>
      </w:pPr>
      <w:r>
        <w:t>7. Plan proposé</w:t>
      </w:r>
    </w:p>
    <w:p>
      <w:pPr>
        <w:pStyle w:val="ListBullet"/>
      </w:pPr>
      <w:r>
        <w:t>Recommandations expliquées au patient — à valider</w:t>
      </w:r>
    </w:p>
    <w:p>
      <w:pPr>
        <w:pStyle w:val="ListBullet"/>
      </w:pPr>
      <w:r>
        <w:t>Examens ou informations à obtenir</w:t>
      </w:r>
    </w:p>
    <w:p>
      <w:pPr>
        <w:pStyle w:val="ListBullet"/>
      </w:pPr>
      <w:r>
        <w:t>Options, bénéfices, risques, limites et solutions de rechange</w:t>
      </w:r>
    </w:p>
    <w:p>
      <w:pPr>
        <w:pStyle w:val="ListBullet"/>
      </w:pPr>
      <w:r>
        <w:t>Décision partagée; responsable et échéance de chaque action</w:t>
      </w:r>
    </w:p>
    <w:p>
      <w:pPr>
        <w:pStyle w:val="Heading1"/>
      </w:pPr>
      <w:r>
        <w:t>8. Suivi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Indicateur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Valeur de départ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Cible / réévaluation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Responsable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Échéance</w:t>
            </w:r>
          </w:p>
        </w:tc>
      </w:tr>
      <w:tr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À définir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—</w:t>
            </w:r>
          </w:p>
        </w:tc>
      </w:tr>
    </w:tbl>
    <w:p/>
    <w:p>
      <w:pPr>
        <w:pStyle w:val="Heading1"/>
      </w:pPr>
      <w:r>
        <w:t>9. Résumé remis au patient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248B85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CE QUI EST CONFIRMÉ · CE QUI RESTE À CLARIFIER · QUI FAIT QUOI · POUR QUAND</w:t>
            </w:r>
          </w:p>
        </w:tc>
      </w:tr>
    </w:tbl>
    <w:p>
      <w:r>
        <w:t>Ce bloc deviendra une page autonome en langage clair après validation de Julie. Il ne contiendra ni hypothèse interne non validée ni note réglementaire.</w:t>
      </w:r>
    </w:p>
    <w:p>
      <w:pPr>
        <w:pStyle w:val="Heading1"/>
      </w:pPr>
      <w:r>
        <w:t>10. Journal de validation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Version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Modification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Origine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Validée par</w:t>
            </w:r>
          </w:p>
        </w:tc>
        <w:tc>
          <w:tcPr>
            <w:tcW w:type="dxa" w:w="2045"/>
            <w:shd w:fill="513873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6"/>
              </w:rPr>
              <w:t>Date</w:t>
            </w:r>
          </w:p>
        </w:tc>
      </w:tr>
      <w:tr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V0.1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Structure initiale du pilote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Corpus audio reçu; contenu non transcrit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En attente</w:t>
            </w:r>
          </w:p>
        </w:tc>
        <w:tc>
          <w:tcPr>
            <w:tcW w:type="dxa" w:w="2045"/>
            <w:shd w:fill="FFF8ED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sz w:val="17"/>
              </w:rPr>
              <w:t>17 sept. 2026</w:t>
            </w:r>
          </w:p>
        </w:tc>
      </w:tr>
    </w:tbl>
    <w:p/>
    <w:p>
      <w:pPr>
        <w:pStyle w:val="Heading1"/>
      </w:pPr>
      <w:r>
        <w:t>État du corpus reçu</w:t>
      </w:r>
    </w:p>
    <w:p>
      <w:r>
        <w:t>8 fichiers audio uniques repérés, environ 36 min 45 s. Deux doublons techniques ont été exclus. La note de 22 h 20 a été transcrite automatiquement et doit être confirmée par Julie. La note de 22 h 16 est intacte et techniquement exploitable, mais sa transcription reste à produire. Aucun contenu clinique non confirmé n’a été inventé.</w:t>
      </w:r>
    </w:p>
    <w:p>
      <w:pPr>
        <w:pStyle w:val="Heading2"/>
      </w:pPr>
      <w:r>
        <w:t>Besoins confirmés dans la note de 22 h 20</w:t>
      </w:r>
    </w:p>
    <w:p>
      <w:pPr>
        <w:pStyle w:val="ListBullet"/>
      </w:pPr>
      <w:r>
        <w:t>Chaque action ou recommandation proposée doit être appuyée par des sources scientifiques, retrouvables et validées par Julie.</w:t>
      </w:r>
    </w:p>
    <w:p>
      <w:pPr>
        <w:pStyle w:val="ListBullet"/>
      </w:pPr>
      <w:r>
        <w:t>Le choix avec le parent, le fondement, les limites et le suivi doivent rester traçables.</w:t>
      </w:r>
    </w:p>
    <w:p>
      <w:pPr>
        <w:pStyle w:val="ListBullet"/>
      </w:pPr>
      <w:r>
        <w:t>Les actions insuffisamment documentées ou incompatibles avec les règles professionnelles doivent être signalées clairement.</w:t>
      </w:r>
    </w:p>
    <w:p>
      <w:pPr>
        <w:pStyle w:val="ListBullet"/>
      </w:pPr>
      <w:r>
        <w:t>Les sources peuvent être simplifiées dans la version patient, mais demeurent archivées et accessibles dans la version professionnelle.</w:t>
      </w:r>
    </w:p>
    <w:p>
      <w:pPr>
        <w:pStyle w:val="ListBullet"/>
      </w:pPr>
      <w:r>
        <w:t>Le processus à cartographier part du questionnaire initial et va jusqu’au rapport et au suivi.</w:t>
      </w:r>
    </w:p>
    <w:p>
      <w:pPr>
        <w:pStyle w:val="ListBullet"/>
      </w:pPr>
      <w:r>
        <w:t>Toute comparaison entre cas semblables sert de repère seulement : elle ne remplace ni les preuves ni le jugement clinique.</w:t>
      </w:r>
    </w:p>
    <w:p>
      <w:pPr>
        <w:pStyle w:val="Heading1"/>
      </w:pPr>
      <w:r>
        <w:t>Repères officiels de départ</w:t>
      </w:r>
    </w:p>
    <w:p>
      <w:pPr>
        <w:pStyle w:val="ListBullet"/>
      </w:pPr>
      <w:r>
        <w:t>CMQ — l’usage d’un scribe IA exige un consentement libre et éclairé; la note générée doit être validée par le médecin.</w:t>
      </w:r>
    </w:p>
    <w:p>
      <w:pPr>
        <w:pStyle w:val="ListBullet"/>
      </w:pPr>
      <w:r>
        <w:t>Règlement M-9, r. 20.3.1 — intégrité, confidentialité, traçabilité des corrections et contenu du dossier clinique.</w:t>
      </w:r>
    </w:p>
    <w:p>
      <w:pPr>
        <w:pStyle w:val="ListBullet"/>
      </w:pPr>
      <w:r>
        <w:t>Loi R-22.1 et lignes directrices de la CAI — consentement manifeste, libre, éclairé et spécifique.</w:t>
      </w:r>
    </w:p>
    <w:p>
      <w:r>
        <w:t>Ce prototype n’est pas présenté comme un dossier médical conforme. Avant un usage réel : validation juridique et professionnelle, choix d’un produit autorisé, évaluation des facteurs relatifs à la vie privée, sécurité, hébergement, accès et conservation.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Prototype dépersonnalisé · validation de Dre Julie Almasi obligatoire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Tag"/>
    </w:pPr>
    <w:r>
      <w:t>ALMAJU  ·  PILOTE EÏA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C273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Georgia" w:hAnsi="Georgia"/>
      <w:b/>
      <w:bCs/>
      <w:color w:val="51387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Georgia" w:hAnsi="Georgia"/>
      <w:b/>
      <w:bCs/>
      <w:color w:val="D95F4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Georgia" w:hAnsi="Georgia"/>
      <w:b/>
      <w:color w:val="51387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g">
    <w:name w:val="Tag"/>
    <w:pPr>
      <w:spacing w:after="60"/>
    </w:pPr>
    <w:rPr>
      <w:rFonts w:ascii="Aptos" w:hAnsi="Aptos"/>
      <w:b/>
      <w:caps/>
      <w:color w:val="D95F45"/>
      <w:sz w:val="17"/>
    </w:rPr>
  </w:style>
  <w:style w:type="paragraph" w:customStyle="1" w:styleId="Small">
    <w:name w:val="Small"/>
    <w:pPr>
      <w:spacing w:after="60"/>
    </w:pPr>
    <w:rPr>
      <w:rFonts w:ascii="Aptos" w:hAnsi="Aptos"/>
      <w:b w:val="0"/>
      <w:caps w:val="0"/>
      <w:color w:val="6B6370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